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1297" w14:textId="1D048E03" w:rsidR="00F62554" w:rsidRPr="002A624A" w:rsidRDefault="00F62554" w:rsidP="002A624A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  <w:bookmarkStart w:id="0" w:name="_GoBack"/>
      <w:bookmarkEnd w:id="0"/>
      <w:r w:rsidRPr="00A51335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DCFTA I</w:t>
      </w:r>
      <w:r w:rsidR="002A624A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NFO BUSINESS: ÎNTREABĂ EXPERTUL</w:t>
      </w:r>
    </w:p>
    <w:p w14:paraId="09588B73" w14:textId="77777777" w:rsidR="00E33D84" w:rsidRDefault="00E33D84" w:rsidP="00456CB3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</w:pPr>
    </w:p>
    <w:p w14:paraId="0AE2EED2" w14:textId="22148C56" w:rsidR="00F62554" w:rsidRPr="00E33D84" w:rsidRDefault="00E33D84" w:rsidP="00456CB3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Reglementări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tehnice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,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standarde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și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proceduri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de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evaluare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a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conformității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în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contextul</w:t>
      </w:r>
      <w:proofErr w:type="spellEnd"/>
      <w:r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DCFTA</w:t>
      </w:r>
      <w:r w:rsidR="004000E8" w:rsidRPr="00E33D84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 xml:space="preserve"> </w:t>
      </w:r>
    </w:p>
    <w:p w14:paraId="109764F3" w14:textId="77777777" w:rsidR="002A624A" w:rsidRPr="002A624A" w:rsidRDefault="002A624A" w:rsidP="00456CB3">
      <w:pPr>
        <w:spacing w:before="0"/>
        <w:rPr>
          <w:rFonts w:asciiTheme="minorHAnsi" w:hAnsiTheme="minorHAnsi" w:cstheme="minorHAnsi"/>
          <w:b/>
          <w:color w:val="1F4E79" w:themeColor="accent1" w:themeShade="80"/>
          <w:sz w:val="2"/>
          <w:szCs w:val="2"/>
          <w:lang w:val="ro-RO"/>
        </w:rPr>
      </w:pPr>
    </w:p>
    <w:p w14:paraId="671EC265" w14:textId="77777777" w:rsidR="00E33D84" w:rsidRDefault="00E33D84" w:rsidP="004000E8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</w:p>
    <w:p w14:paraId="2F07DE8F" w14:textId="233C9B4E" w:rsidR="00F62554" w:rsidRPr="00A51335" w:rsidRDefault="00F62554" w:rsidP="004000E8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  <w:r w:rsidRPr="00A51335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AGENDA</w:t>
      </w:r>
    </w:p>
    <w:p w14:paraId="0ED313E0" w14:textId="77777777" w:rsidR="002A624A" w:rsidRDefault="002A624A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14:paraId="5BF1E7DE" w14:textId="5210831C" w:rsidR="00F62554" w:rsidRPr="008B596F" w:rsidRDefault="00F62554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596F">
        <w:rPr>
          <w:rFonts w:asciiTheme="minorHAnsi" w:hAnsiTheme="minorHAnsi" w:cstheme="minorHAnsi"/>
          <w:i/>
          <w:sz w:val="24"/>
          <w:szCs w:val="24"/>
          <w:lang w:val="ro-RO"/>
        </w:rPr>
        <w:t>Adresă:</w:t>
      </w:r>
      <w:r w:rsidR="00FB5C61" w:rsidRPr="008B596F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Chișinău</w:t>
      </w:r>
      <w:proofErr w:type="spellEnd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,</w:t>
      </w:r>
      <w:r w:rsidR="00FA108D" w:rsidRPr="008B596F">
        <w:rPr>
          <w:rFonts w:asciiTheme="minorHAnsi" w:hAnsiTheme="minorHAnsi" w:cstheme="minorHAnsi"/>
          <w:i/>
          <w:sz w:val="24"/>
          <w:szCs w:val="24"/>
          <w:lang w:val="ro-RO"/>
        </w:rPr>
        <w:t xml:space="preserve"> Hotel 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lang w:val="ro-RO"/>
        </w:rPr>
        <w:t>Jolly</w:t>
      </w:r>
      <w:proofErr w:type="spellEnd"/>
      <w:r w:rsidR="00FA108D" w:rsidRPr="008B596F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lang w:val="ro-RO"/>
        </w:rPr>
        <w:t>Alon</w:t>
      </w:r>
      <w:proofErr w:type="spellEnd"/>
      <w:r w:rsidR="00456CB3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Sala 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Marmură</w:t>
      </w:r>
      <w:proofErr w:type="spellEnd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Conferința</w:t>
      </w:r>
      <w:proofErr w:type="spellEnd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(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aripa</w:t>
      </w:r>
      <w:proofErr w:type="spellEnd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dreapt</w:t>
      </w:r>
      <w:proofErr w:type="spellEnd"/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ro-MD"/>
        </w:rPr>
        <w:t>ă</w:t>
      </w:r>
      <w:r w:rsidR="00FA108D" w:rsidRPr="008B596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)</w:t>
      </w:r>
    </w:p>
    <w:p w14:paraId="6A591A45" w14:textId="2624ABEC" w:rsidR="00F62554" w:rsidRPr="008B596F" w:rsidRDefault="00F62554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596F">
        <w:rPr>
          <w:rFonts w:asciiTheme="minorHAnsi" w:hAnsiTheme="minorHAnsi" w:cstheme="minorHAnsi"/>
          <w:i/>
          <w:sz w:val="24"/>
          <w:szCs w:val="24"/>
          <w:lang w:val="ro-RO"/>
        </w:rPr>
        <w:t xml:space="preserve">Data: </w:t>
      </w:r>
      <w:r w:rsidR="004000E8" w:rsidRPr="008B596F">
        <w:rPr>
          <w:rFonts w:asciiTheme="minorHAnsi" w:hAnsiTheme="minorHAnsi" w:cstheme="minorHAnsi"/>
          <w:i/>
          <w:sz w:val="24"/>
          <w:szCs w:val="24"/>
          <w:lang w:val="ro-RO"/>
        </w:rPr>
        <w:t>23 aprilie</w:t>
      </w:r>
      <w:r w:rsidRPr="008B596F">
        <w:rPr>
          <w:rFonts w:asciiTheme="minorHAnsi" w:hAnsiTheme="minorHAnsi" w:cstheme="minorHAnsi"/>
          <w:i/>
          <w:sz w:val="24"/>
          <w:szCs w:val="24"/>
          <w:lang w:val="ro-RO"/>
        </w:rPr>
        <w:t xml:space="preserve"> 2019</w:t>
      </w:r>
    </w:p>
    <w:p w14:paraId="50A36581" w14:textId="77777777" w:rsidR="0053746F" w:rsidRPr="008B596F" w:rsidRDefault="0053746F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i/>
          <w:sz w:val="24"/>
          <w:szCs w:val="24"/>
          <w:bdr w:val="none" w:sz="0" w:space="0" w:color="auto" w:frame="1"/>
          <w:lang w:val="ro-RO"/>
        </w:rPr>
      </w:pPr>
    </w:p>
    <w:p w14:paraId="149DF088" w14:textId="5A42D2F2" w:rsidR="00F62554" w:rsidRPr="008B596F" w:rsidRDefault="00FB5C61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8B596F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>Moderator: Raluca Costache, Lider de Echipă</w:t>
      </w:r>
      <w:r w:rsidRPr="008B596F">
        <w:rPr>
          <w:rFonts w:asciiTheme="minorHAnsi" w:hAnsiTheme="minorHAnsi" w:cstheme="minorHAnsi"/>
          <w:i/>
          <w:sz w:val="24"/>
          <w:szCs w:val="24"/>
          <w:lang w:val="ro-RO"/>
        </w:rPr>
        <w:t xml:space="preserve"> al Proiectului UE Vizibilitate și Comunicare pentru AA/DCFTA</w:t>
      </w:r>
    </w:p>
    <w:p w14:paraId="486E79D4" w14:textId="1011423D" w:rsidR="004000E8" w:rsidRPr="008B596F" w:rsidRDefault="00625D61" w:rsidP="00625D61">
      <w:pPr>
        <w:spacing w:after="120"/>
        <w:rPr>
          <w:rFonts w:asciiTheme="minorHAnsi" w:eastAsia="Malgun Gothic" w:hAnsiTheme="minorHAnsi" w:cstheme="minorHAnsi"/>
          <w:sz w:val="24"/>
          <w:szCs w:val="24"/>
          <w:lang w:val="ro-MD"/>
        </w:rPr>
      </w:pP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9.30 </w:t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  <w:t xml:space="preserve">      </w:t>
      </w:r>
      <w:r w:rsidR="004000E8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Înregistrare &amp; Cafea</w:t>
      </w:r>
    </w:p>
    <w:p w14:paraId="514485FE" w14:textId="6E14A029" w:rsidR="004000E8" w:rsidRPr="008B596F" w:rsidRDefault="00625D61" w:rsidP="004000E8">
      <w:pPr>
        <w:spacing w:after="120"/>
        <w:rPr>
          <w:rFonts w:asciiTheme="minorHAnsi" w:eastAsia="Malgun Gothic" w:hAnsiTheme="minorHAnsi" w:cstheme="minorHAnsi"/>
          <w:sz w:val="24"/>
          <w:szCs w:val="24"/>
          <w:lang w:val="ro-MD"/>
        </w:rPr>
      </w:pP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9.50 - 10.00 </w:t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  <w:t xml:space="preserve">      </w:t>
      </w:r>
      <w:r w:rsidR="004000E8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Cuvânt de deschidere </w:t>
      </w:r>
      <w:r w:rsidR="002C6416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 </w:t>
      </w:r>
      <w:r w:rsidR="004000E8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 </w:t>
      </w:r>
    </w:p>
    <w:p w14:paraId="4CD54228" w14:textId="51108D86" w:rsidR="004000E8" w:rsidRPr="008B596F" w:rsidRDefault="004000E8" w:rsidP="002248D7">
      <w:pPr>
        <w:spacing w:after="120"/>
        <w:ind w:left="2160" w:hanging="2160"/>
        <w:rPr>
          <w:rFonts w:asciiTheme="minorHAnsi" w:eastAsia="Malgun Gothic" w:hAnsiTheme="minorHAnsi" w:cstheme="minorHAnsi"/>
          <w:sz w:val="24"/>
          <w:szCs w:val="24"/>
          <w:lang w:val="ro-MD"/>
        </w:rPr>
      </w:pP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10.00 – 10.</w:t>
      </w:r>
      <w:r w:rsidR="00A21E11" w:rsidRPr="008B596F">
        <w:rPr>
          <w:rFonts w:asciiTheme="minorHAnsi" w:eastAsia="Malgun Gothic" w:hAnsiTheme="minorHAnsi" w:cstheme="minorHAnsi"/>
          <w:sz w:val="24"/>
          <w:szCs w:val="24"/>
          <w:lang w:val="en-US"/>
        </w:rPr>
        <w:t>4</w:t>
      </w:r>
      <w:r w:rsidR="00625D61" w:rsidRPr="008B596F">
        <w:rPr>
          <w:rFonts w:asciiTheme="minorHAnsi" w:eastAsia="Malgun Gothic" w:hAnsiTheme="minorHAnsi" w:cstheme="minorHAnsi"/>
          <w:sz w:val="24"/>
          <w:szCs w:val="24"/>
          <w:lang w:val="en-US"/>
        </w:rPr>
        <w:t>0</w:t>
      </w:r>
      <w:r w:rsidR="00625D61" w:rsidRPr="008B596F">
        <w:rPr>
          <w:rFonts w:asciiTheme="minorHAnsi" w:eastAsia="Malgun Gothic" w:hAnsiTheme="minorHAnsi" w:cstheme="minorHAnsi"/>
          <w:sz w:val="24"/>
          <w:szCs w:val="24"/>
          <w:lang w:val="en-US"/>
        </w:rPr>
        <w:tab/>
        <w:t xml:space="preserve"> </w:t>
      </w:r>
      <w:r w:rsidR="00625D61" w:rsidRPr="008B596F">
        <w:rPr>
          <w:rFonts w:asciiTheme="minorHAnsi" w:eastAsia="Malgun Gothic" w:hAnsiTheme="minorHAnsi" w:cstheme="minorHAnsi"/>
          <w:sz w:val="24"/>
          <w:szCs w:val="24"/>
          <w:lang w:val="en-US"/>
        </w:rPr>
        <w:tab/>
        <w:t xml:space="preserve">      </w:t>
      </w:r>
      <w:r w:rsidR="008B596F" w:rsidRPr="008B596F">
        <w:rPr>
          <w:rFonts w:ascii="Calibri" w:hAnsi="Calibri" w:cs="Calibri"/>
          <w:b/>
          <w:sz w:val="24"/>
          <w:szCs w:val="24"/>
          <w:lang w:val="ro-RO"/>
        </w:rPr>
        <w:t>Reglementări tehnice, standarde și proceduri de evaluare a conformității</w:t>
      </w:r>
      <w:r w:rsidR="0053746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 – </w:t>
      </w:r>
      <w:r w:rsid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bariere tehnice și </w:t>
      </w:r>
      <w:r w:rsidR="0053746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>o</w:t>
      </w:r>
      <w:r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portunități </w:t>
      </w:r>
      <w:r w:rsidR="0053746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>pentru</w:t>
      </w:r>
      <w:r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 </w:t>
      </w:r>
      <w:r w:rsidR="0053746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>c</w:t>
      </w:r>
      <w:r w:rsidR="002248D7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omerț </w:t>
      </w:r>
      <w:r w:rsidR="0053746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>în contextul Acordului de Liber Schimb cu U</w:t>
      </w:r>
      <w:r w:rsid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niunea </w:t>
      </w:r>
      <w:r w:rsidR="0053746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>E</w:t>
      </w:r>
      <w:r w:rsid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>uropeană (DCFTA)</w:t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 </w:t>
      </w:r>
    </w:p>
    <w:p w14:paraId="2C57CD0D" w14:textId="28A9A8A1" w:rsidR="004000E8" w:rsidRPr="008B596F" w:rsidRDefault="004000E8" w:rsidP="00625D61">
      <w:pPr>
        <w:pStyle w:val="gmail-msolistparagraph"/>
        <w:spacing w:before="0" w:beforeAutospacing="0" w:after="120" w:afterAutospacing="0"/>
        <w:ind w:left="2160"/>
        <w:rPr>
          <w:rFonts w:asciiTheme="minorHAnsi" w:hAnsiTheme="minorHAnsi" w:cstheme="minorHAnsi"/>
          <w:iCs/>
          <w:lang w:val="ro-MD"/>
        </w:rPr>
      </w:pPr>
      <w:r w:rsidRPr="008B596F">
        <w:rPr>
          <w:rFonts w:asciiTheme="minorHAnsi" w:hAnsiTheme="minorHAnsi" w:cstheme="minorHAnsi"/>
          <w:lang w:val="ro-MD"/>
        </w:rPr>
        <w:t xml:space="preserve">Importanța </w:t>
      </w:r>
      <w:r w:rsidR="0053746F" w:rsidRPr="008B596F">
        <w:rPr>
          <w:rFonts w:asciiTheme="minorHAnsi" w:hAnsiTheme="minorHAnsi" w:cstheme="minorHAnsi"/>
          <w:lang w:val="ro-MD"/>
        </w:rPr>
        <w:t>adoptării noilor standarde tehnice</w:t>
      </w:r>
      <w:r w:rsidRPr="008B596F">
        <w:rPr>
          <w:rFonts w:asciiTheme="minorHAnsi" w:hAnsiTheme="minorHAnsi" w:cstheme="minorHAnsi"/>
          <w:lang w:val="ro-MD"/>
        </w:rPr>
        <w:t xml:space="preserve"> </w:t>
      </w:r>
      <w:r w:rsidR="0053746F" w:rsidRPr="008B596F">
        <w:rPr>
          <w:rFonts w:asciiTheme="minorHAnsi" w:hAnsiTheme="minorHAnsi" w:cstheme="minorHAnsi"/>
          <w:lang w:val="ro-MD"/>
        </w:rPr>
        <w:t xml:space="preserve">în vederea </w:t>
      </w:r>
      <w:r w:rsidR="0053746F" w:rsidRPr="008B596F">
        <w:rPr>
          <w:rFonts w:asciiTheme="minorHAnsi" w:hAnsiTheme="minorHAnsi" w:cstheme="minorHAnsi"/>
          <w:iCs/>
          <w:lang w:val="ro-MD"/>
        </w:rPr>
        <w:t>creșterii</w:t>
      </w:r>
      <w:r w:rsidR="002248D7" w:rsidRPr="008B596F">
        <w:rPr>
          <w:rFonts w:asciiTheme="minorHAnsi" w:hAnsiTheme="minorHAnsi" w:cstheme="minorHAnsi"/>
          <w:iCs/>
          <w:lang w:val="ro-MD"/>
        </w:rPr>
        <w:t xml:space="preserve"> competitivității afacerilor pe piețele interne și </w:t>
      </w:r>
      <w:r w:rsidR="0053746F" w:rsidRPr="008B596F">
        <w:rPr>
          <w:rFonts w:asciiTheme="minorHAnsi" w:hAnsiTheme="minorHAnsi" w:cstheme="minorHAnsi"/>
          <w:lang w:val="ro-MD"/>
        </w:rPr>
        <w:t xml:space="preserve">a </w:t>
      </w:r>
      <w:r w:rsidR="002248D7" w:rsidRPr="008B596F">
        <w:rPr>
          <w:rFonts w:asciiTheme="minorHAnsi" w:hAnsiTheme="minorHAnsi" w:cstheme="minorHAnsi"/>
          <w:lang w:val="ro-MD"/>
        </w:rPr>
        <w:t xml:space="preserve">dinamizării </w:t>
      </w:r>
      <w:r w:rsidRPr="008B596F">
        <w:rPr>
          <w:rFonts w:asciiTheme="minorHAnsi" w:hAnsiTheme="minorHAnsi" w:cstheme="minorHAnsi"/>
          <w:lang w:val="ro-MD"/>
        </w:rPr>
        <w:t>exporturilor Republicii Moldova</w:t>
      </w:r>
      <w:r w:rsidR="002248D7" w:rsidRPr="008B596F">
        <w:rPr>
          <w:rFonts w:asciiTheme="minorHAnsi" w:hAnsiTheme="minorHAnsi" w:cstheme="minorHAnsi"/>
          <w:lang w:val="ro-MD"/>
        </w:rPr>
        <w:t xml:space="preserve"> pe piața UE</w:t>
      </w:r>
      <w:r w:rsidRPr="008B596F">
        <w:rPr>
          <w:rFonts w:asciiTheme="minorHAnsi" w:hAnsiTheme="minorHAnsi" w:cstheme="minorHAnsi"/>
          <w:lang w:val="ro-MD"/>
        </w:rPr>
        <w:t xml:space="preserve">. </w:t>
      </w:r>
      <w:r w:rsidR="002248D7" w:rsidRPr="008B596F">
        <w:rPr>
          <w:rFonts w:asciiTheme="minorHAnsi" w:hAnsiTheme="minorHAnsi" w:cstheme="minorHAnsi"/>
          <w:iCs/>
          <w:lang w:val="ro-MD"/>
        </w:rPr>
        <w:t>Principiile</w:t>
      </w:r>
      <w:r w:rsidRPr="008B596F">
        <w:rPr>
          <w:rFonts w:asciiTheme="minorHAnsi" w:hAnsiTheme="minorHAnsi" w:cstheme="minorHAnsi"/>
          <w:iCs/>
          <w:lang w:val="ro-MD"/>
        </w:rPr>
        <w:t xml:space="preserve"> de </w:t>
      </w:r>
      <w:r w:rsidR="0053746F" w:rsidRPr="008B596F">
        <w:rPr>
          <w:rFonts w:asciiTheme="minorHAnsi" w:hAnsiTheme="minorHAnsi" w:cstheme="minorHAnsi"/>
          <w:iCs/>
          <w:lang w:val="ro-MD"/>
        </w:rPr>
        <w:t>gestionare și minimizare</w:t>
      </w:r>
      <w:r w:rsidRPr="008B596F">
        <w:rPr>
          <w:rFonts w:asciiTheme="minorHAnsi" w:hAnsiTheme="minorHAnsi" w:cstheme="minorHAnsi"/>
          <w:iCs/>
          <w:lang w:val="ro-MD"/>
        </w:rPr>
        <w:t xml:space="preserve"> a </w:t>
      </w:r>
      <w:r w:rsidR="002248D7" w:rsidRPr="008B596F">
        <w:rPr>
          <w:rFonts w:asciiTheme="minorHAnsi" w:hAnsiTheme="minorHAnsi" w:cstheme="minorHAnsi"/>
          <w:iCs/>
          <w:lang w:val="ro-MD"/>
        </w:rPr>
        <w:t>Barierelor Tehnice pentru Comerț</w:t>
      </w:r>
      <w:r w:rsidRPr="008B596F">
        <w:rPr>
          <w:rFonts w:asciiTheme="minorHAnsi" w:hAnsiTheme="minorHAnsi" w:cstheme="minorHAnsi"/>
          <w:iCs/>
          <w:lang w:val="ro-MD"/>
        </w:rPr>
        <w:t xml:space="preserve"> în </w:t>
      </w:r>
      <w:r w:rsidR="00625D61" w:rsidRPr="008B596F">
        <w:rPr>
          <w:rFonts w:asciiTheme="minorHAnsi" w:hAnsiTheme="minorHAnsi" w:cstheme="minorHAnsi"/>
          <w:iCs/>
          <w:lang w:val="ro-MD"/>
        </w:rPr>
        <w:t>contextul Acordului de Asociere cu</w:t>
      </w:r>
      <w:r w:rsidRPr="008B596F">
        <w:rPr>
          <w:rFonts w:asciiTheme="minorHAnsi" w:hAnsiTheme="minorHAnsi" w:cstheme="minorHAnsi"/>
          <w:iCs/>
          <w:lang w:val="ro-MD"/>
        </w:rPr>
        <w:t xml:space="preserve"> UE</w:t>
      </w:r>
      <w:r w:rsidR="0053746F" w:rsidRPr="008B596F">
        <w:rPr>
          <w:rFonts w:asciiTheme="minorHAnsi" w:hAnsiTheme="minorHAnsi" w:cstheme="minorHAnsi"/>
          <w:iCs/>
          <w:lang w:val="ro-MD"/>
        </w:rPr>
        <w:t xml:space="preserve"> (AA/DCFTA)</w:t>
      </w:r>
      <w:r w:rsidR="002248D7" w:rsidRPr="008B596F">
        <w:rPr>
          <w:rFonts w:asciiTheme="minorHAnsi" w:hAnsiTheme="minorHAnsi" w:cstheme="minorHAnsi"/>
          <w:iCs/>
          <w:lang w:val="ro-MD"/>
        </w:rPr>
        <w:t xml:space="preserve"> și </w:t>
      </w:r>
      <w:r w:rsidR="0053746F" w:rsidRPr="008B596F">
        <w:rPr>
          <w:rFonts w:asciiTheme="minorHAnsi" w:hAnsiTheme="minorHAnsi" w:cstheme="minorHAnsi"/>
          <w:iCs/>
          <w:lang w:val="ro-MD"/>
        </w:rPr>
        <w:t>beneficiile</w:t>
      </w:r>
      <w:r w:rsidRPr="008B596F">
        <w:rPr>
          <w:rFonts w:asciiTheme="minorHAnsi" w:hAnsiTheme="minorHAnsi" w:cstheme="minorHAnsi"/>
          <w:iCs/>
          <w:lang w:val="ro-MD"/>
        </w:rPr>
        <w:t xml:space="preserve"> </w:t>
      </w:r>
      <w:r w:rsidR="002248D7" w:rsidRPr="008B596F">
        <w:rPr>
          <w:rFonts w:asciiTheme="minorHAnsi" w:hAnsiTheme="minorHAnsi" w:cstheme="minorHAnsi"/>
          <w:iCs/>
          <w:lang w:val="ro-MD"/>
        </w:rPr>
        <w:t>arm</w:t>
      </w:r>
      <w:r w:rsidR="0053746F" w:rsidRPr="008B596F">
        <w:rPr>
          <w:rFonts w:asciiTheme="minorHAnsi" w:hAnsiTheme="minorHAnsi" w:cstheme="minorHAnsi"/>
          <w:iCs/>
          <w:lang w:val="ro-MD"/>
        </w:rPr>
        <w:t>onizării standardelor tehnice la nivelul standardelor</w:t>
      </w:r>
      <w:r w:rsidR="002248D7" w:rsidRPr="008B596F">
        <w:rPr>
          <w:rFonts w:asciiTheme="minorHAnsi" w:hAnsiTheme="minorHAnsi" w:cstheme="minorHAnsi"/>
          <w:iCs/>
          <w:lang w:val="ro-MD"/>
        </w:rPr>
        <w:t xml:space="preserve"> tehnice ale UE. </w:t>
      </w:r>
    </w:p>
    <w:p w14:paraId="0CAEF161" w14:textId="6959F90E" w:rsidR="00625D61" w:rsidRPr="008B596F" w:rsidRDefault="00625D61" w:rsidP="00625D61">
      <w:pPr>
        <w:pStyle w:val="gmail-msolistparagraph"/>
        <w:spacing w:before="0" w:beforeAutospacing="0" w:after="120" w:afterAutospacing="0"/>
        <w:ind w:left="2160"/>
        <w:rPr>
          <w:rFonts w:asciiTheme="minorHAnsi" w:hAnsiTheme="minorHAnsi" w:cstheme="minorHAnsi"/>
          <w:i/>
          <w:lang w:val="ro-MD"/>
        </w:rPr>
      </w:pPr>
      <w:r w:rsidRPr="008B596F">
        <w:rPr>
          <w:rFonts w:asciiTheme="minorHAnsi" w:hAnsiTheme="minorHAnsi" w:cstheme="minorHAnsi"/>
          <w:i/>
          <w:iCs/>
          <w:lang w:val="ro-MD"/>
        </w:rPr>
        <w:t>Vadim Gumene, expert</w:t>
      </w:r>
    </w:p>
    <w:p w14:paraId="6BABCFA3" w14:textId="77777777" w:rsidR="00B5659F" w:rsidRPr="008B596F" w:rsidRDefault="004F2A44" w:rsidP="00B5659F">
      <w:pPr>
        <w:spacing w:after="120"/>
        <w:ind w:left="2160" w:hanging="2160"/>
        <w:jc w:val="left"/>
        <w:rPr>
          <w:rFonts w:asciiTheme="minorHAnsi" w:eastAsia="Malgun Gothic" w:hAnsiTheme="minorHAnsi" w:cstheme="minorHAnsi"/>
          <w:sz w:val="24"/>
          <w:szCs w:val="24"/>
          <w:lang w:val="ro-MD"/>
        </w:rPr>
      </w:pP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10.</w:t>
      </w:r>
      <w:r w:rsidR="00A21E11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4</w:t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0</w:t>
      </w:r>
      <w:r w:rsidR="004000E8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 – 11.</w:t>
      </w:r>
      <w:r w:rsidR="00A21E11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2</w:t>
      </w:r>
      <w:r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>0</w:t>
      </w:r>
      <w:r w:rsidR="004000E8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="004000E8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ab/>
      </w:r>
      <w:r w:rsidR="00625D61" w:rsidRPr="008B596F">
        <w:rPr>
          <w:rFonts w:asciiTheme="minorHAnsi" w:eastAsia="Malgun Gothic" w:hAnsiTheme="minorHAnsi" w:cstheme="minorHAnsi"/>
          <w:sz w:val="24"/>
          <w:szCs w:val="24"/>
          <w:lang w:val="ro-MD"/>
        </w:rPr>
        <w:t xml:space="preserve">      </w:t>
      </w:r>
      <w:r w:rsidR="00B5659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Legislația la zi și noutăți în materie de implementare și armonizare a </w:t>
      </w:r>
      <w:r w:rsidR="00B5659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reglementărilor </w:t>
      </w:r>
      <w:r w:rsidR="00B5659F" w:rsidRPr="008B596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tehnice </w:t>
      </w:r>
      <w:r w:rsidR="00B5659F">
        <w:rPr>
          <w:rFonts w:asciiTheme="minorHAnsi" w:eastAsia="Malgun Gothic" w:hAnsiTheme="minorHAnsi" w:cstheme="minorHAnsi"/>
          <w:b/>
          <w:sz w:val="24"/>
          <w:szCs w:val="24"/>
          <w:lang w:val="ro-MD"/>
        </w:rPr>
        <w:t xml:space="preserve">naționale </w:t>
      </w:r>
      <w:r w:rsidR="00B5659F" w:rsidRPr="008B596F">
        <w:rPr>
          <w:rFonts w:asciiTheme="minorHAnsi" w:hAnsiTheme="minorHAnsi" w:cstheme="minorHAnsi"/>
          <w:b/>
          <w:sz w:val="24"/>
          <w:szCs w:val="24"/>
          <w:lang w:val="ro-MD"/>
        </w:rPr>
        <w:t>în contextul  implementării AA/DCFTA</w:t>
      </w:r>
    </w:p>
    <w:p w14:paraId="3949A00B" w14:textId="77777777" w:rsidR="00B5659F" w:rsidRPr="008B596F" w:rsidRDefault="00B5659F" w:rsidP="00B5659F">
      <w:pPr>
        <w:pStyle w:val="gmail-msolistparagraph"/>
        <w:spacing w:before="0" w:beforeAutospacing="0" w:after="120" w:afterAutospacing="0"/>
        <w:ind w:left="2160"/>
        <w:rPr>
          <w:rFonts w:asciiTheme="minorHAnsi" w:hAnsiTheme="minorHAnsi" w:cstheme="minorHAnsi"/>
          <w:iCs/>
          <w:lang w:val="ro-MD"/>
        </w:rPr>
      </w:pPr>
      <w:r w:rsidRPr="008B596F">
        <w:rPr>
          <w:rFonts w:asciiTheme="minorHAnsi" w:hAnsiTheme="minorHAnsi" w:cstheme="minorHAnsi"/>
          <w:lang w:val="ro-MD"/>
        </w:rPr>
        <w:t>A</w:t>
      </w:r>
      <w:r w:rsidRPr="008B596F">
        <w:rPr>
          <w:rFonts w:asciiTheme="minorHAnsi" w:hAnsiTheme="minorHAnsi" w:cstheme="minorHAnsi"/>
          <w:iCs/>
          <w:lang w:val="ro-MD"/>
        </w:rPr>
        <w:t xml:space="preserve">ngajamente asumate în cadrul AA/DCFTA și progrese în armonizarea legislației orizontale și sectoriale conform DCFTA, de interes pentru producătorii locali. </w:t>
      </w:r>
    </w:p>
    <w:p w14:paraId="306AAAC0" w14:textId="2B8A1747" w:rsidR="002248D7" w:rsidRPr="008B596F" w:rsidRDefault="002248D7" w:rsidP="00B5659F">
      <w:pPr>
        <w:spacing w:after="120"/>
        <w:ind w:left="4320" w:hanging="2160"/>
        <w:rPr>
          <w:rFonts w:asciiTheme="minorHAnsi" w:hAnsiTheme="minorHAnsi" w:cstheme="minorHAnsi"/>
          <w:i/>
          <w:lang w:val="ro-MD"/>
        </w:rPr>
      </w:pPr>
      <w:r w:rsidRPr="008B596F">
        <w:rPr>
          <w:rFonts w:asciiTheme="minorHAnsi" w:hAnsiTheme="minorHAnsi" w:cstheme="minorHAnsi"/>
          <w:i/>
          <w:iCs/>
          <w:lang w:val="ro-MD"/>
        </w:rPr>
        <w:t xml:space="preserve">Reprezentant al </w:t>
      </w:r>
      <w:r w:rsidRPr="008B596F">
        <w:rPr>
          <w:rFonts w:asciiTheme="minorHAnsi" w:eastAsia="Malgun Gothic" w:hAnsiTheme="minorHAnsi" w:cstheme="minorHAnsi"/>
          <w:i/>
          <w:lang w:val="ro-MD"/>
        </w:rPr>
        <w:t>Ministerului Economiei și Infrastructurii</w:t>
      </w:r>
    </w:p>
    <w:p w14:paraId="691E7B06" w14:textId="77777777" w:rsidR="008B596F" w:rsidRDefault="008B596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160" w:line="259" w:lineRule="auto"/>
        <w:jc w:val="left"/>
        <w:rPr>
          <w:rFonts w:asciiTheme="minorHAnsi" w:eastAsia="Malgun Gothic" w:hAnsiTheme="minorHAnsi" w:cstheme="minorHAnsi"/>
          <w:bCs/>
          <w:sz w:val="24"/>
          <w:szCs w:val="24"/>
          <w:lang w:val="ro-MD"/>
        </w:rPr>
      </w:pPr>
      <w:r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br w:type="page"/>
      </w:r>
    </w:p>
    <w:p w14:paraId="3E61510F" w14:textId="03121E3B" w:rsidR="004000E8" w:rsidRPr="008B596F" w:rsidRDefault="004000E8" w:rsidP="002248D7">
      <w:pPr>
        <w:spacing w:after="120"/>
        <w:ind w:left="2160" w:hanging="2160"/>
        <w:rPr>
          <w:rFonts w:asciiTheme="minorHAnsi" w:eastAsia="Malgun Gothic" w:hAnsiTheme="minorHAnsi" w:cstheme="minorHAnsi"/>
          <w:bCs/>
          <w:sz w:val="24"/>
          <w:szCs w:val="24"/>
          <w:lang w:val="ro-MD"/>
        </w:rPr>
      </w:pP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lastRenderedPageBreak/>
        <w:t>11.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2</w:t>
      </w:r>
      <w:r w:rsidR="004F2A44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0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 xml:space="preserve"> – 1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2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>.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00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ab/>
      </w:r>
      <w:r w:rsidR="00625D61"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 xml:space="preserve">      </w:t>
      </w:r>
      <w:r w:rsidR="002248D7" w:rsidRPr="008B596F">
        <w:rPr>
          <w:rFonts w:asciiTheme="minorHAnsi" w:hAnsiTheme="minorHAnsi" w:cstheme="minorHAnsi"/>
          <w:b/>
          <w:iCs/>
          <w:sz w:val="24"/>
          <w:szCs w:val="24"/>
          <w:lang w:val="ro-MD"/>
        </w:rPr>
        <w:t>Sistemul național de standardizare și potențialele efecte asupra producătorului</w:t>
      </w:r>
    </w:p>
    <w:p w14:paraId="366F8C0F" w14:textId="28BEADD9" w:rsidR="004000E8" w:rsidRPr="008B596F" w:rsidRDefault="004000E8" w:rsidP="00625D61">
      <w:pPr>
        <w:pStyle w:val="gmail-msolistparagraph"/>
        <w:spacing w:before="0" w:beforeAutospacing="0" w:after="120" w:afterAutospacing="0"/>
        <w:ind w:left="2160"/>
        <w:rPr>
          <w:rFonts w:asciiTheme="minorHAnsi" w:hAnsiTheme="minorHAnsi" w:cstheme="minorHAnsi"/>
          <w:iCs/>
          <w:lang w:val="ro-MD"/>
        </w:rPr>
      </w:pPr>
      <w:r w:rsidRPr="008B596F">
        <w:rPr>
          <w:rFonts w:asciiTheme="minorHAnsi" w:hAnsiTheme="minorHAnsi" w:cstheme="minorHAnsi"/>
          <w:iCs/>
          <w:lang w:val="ro-MD"/>
        </w:rPr>
        <w:t>Sistemul național de standardizare, procesele care au loc și potențialele efecte asupra producătorului, dar și consumatorului. Aprobarea st</w:t>
      </w:r>
      <w:r w:rsidR="0053746F" w:rsidRPr="008B596F">
        <w:rPr>
          <w:rFonts w:asciiTheme="minorHAnsi" w:hAnsiTheme="minorHAnsi" w:cstheme="minorHAnsi"/>
          <w:iCs/>
          <w:lang w:val="ro-MD"/>
        </w:rPr>
        <w:t>andardelor în RM, anularea GOST și beneficiile armonizării standardelor tehnice pentru producători</w:t>
      </w:r>
      <w:r w:rsidRPr="008B596F">
        <w:rPr>
          <w:rFonts w:asciiTheme="minorHAnsi" w:hAnsiTheme="minorHAnsi" w:cstheme="minorHAnsi"/>
          <w:iCs/>
          <w:lang w:val="ro-MD"/>
        </w:rPr>
        <w:t xml:space="preserve">. Utilitatea </w:t>
      </w:r>
      <w:r w:rsidR="004E5083" w:rsidRPr="008B596F">
        <w:rPr>
          <w:rFonts w:asciiTheme="minorHAnsi" w:hAnsiTheme="minorHAnsi" w:cstheme="minorHAnsi"/>
          <w:iCs/>
          <w:lang w:val="ro-MD"/>
        </w:rPr>
        <w:t xml:space="preserve">armonizării </w:t>
      </w:r>
      <w:r w:rsidRPr="008B596F">
        <w:rPr>
          <w:rFonts w:asciiTheme="minorHAnsi" w:hAnsiTheme="minorHAnsi" w:cstheme="minorHAnsi"/>
          <w:iCs/>
          <w:lang w:val="ro-MD"/>
        </w:rPr>
        <w:t>standardelor</w:t>
      </w:r>
      <w:r w:rsidR="004E5083" w:rsidRPr="008B596F">
        <w:rPr>
          <w:rFonts w:asciiTheme="minorHAnsi" w:hAnsiTheme="minorHAnsi" w:cstheme="minorHAnsi"/>
          <w:iCs/>
          <w:lang w:val="ro-MD"/>
        </w:rPr>
        <w:t xml:space="preserve"> la nivelul standardelor europene</w:t>
      </w:r>
      <w:r w:rsidRPr="008B596F">
        <w:rPr>
          <w:rFonts w:asciiTheme="minorHAnsi" w:hAnsiTheme="minorHAnsi" w:cstheme="minorHAnsi"/>
          <w:iCs/>
          <w:lang w:val="ro-MD"/>
        </w:rPr>
        <w:t xml:space="preserve"> în special în tranzacțiile comerciale externe, în raport cu costuri inițiale</w:t>
      </w:r>
      <w:r w:rsidR="0053746F" w:rsidRPr="008B596F">
        <w:rPr>
          <w:rFonts w:asciiTheme="minorHAnsi" w:hAnsiTheme="minorHAnsi" w:cstheme="minorHAnsi"/>
          <w:iCs/>
          <w:lang w:val="ro-MD"/>
        </w:rPr>
        <w:t>, etc.</w:t>
      </w:r>
    </w:p>
    <w:p w14:paraId="2A891DE5" w14:textId="48C2A2C3" w:rsidR="0053746F" w:rsidRPr="008B596F" w:rsidRDefault="0053746F" w:rsidP="0053746F">
      <w:pPr>
        <w:pStyle w:val="gmail-msolistparagraph"/>
        <w:spacing w:before="0" w:beforeAutospacing="0" w:after="120" w:afterAutospacing="0"/>
        <w:ind w:left="2160"/>
        <w:rPr>
          <w:rFonts w:asciiTheme="minorHAnsi" w:hAnsiTheme="minorHAnsi" w:cstheme="minorHAnsi"/>
          <w:i/>
          <w:lang w:val="ro-MD"/>
        </w:rPr>
      </w:pPr>
      <w:r w:rsidRPr="008B596F">
        <w:rPr>
          <w:rFonts w:asciiTheme="minorHAnsi" w:hAnsiTheme="minorHAnsi" w:cstheme="minorHAnsi"/>
          <w:i/>
          <w:iCs/>
          <w:lang w:val="ro-MD"/>
        </w:rPr>
        <w:t xml:space="preserve">Reprezentant al </w:t>
      </w:r>
      <w:r w:rsidRPr="008B596F">
        <w:rPr>
          <w:rFonts w:asciiTheme="minorHAnsi" w:eastAsia="Malgun Gothic" w:hAnsiTheme="minorHAnsi" w:cstheme="minorHAnsi"/>
          <w:i/>
          <w:lang w:val="ro-MD"/>
        </w:rPr>
        <w:t>Institutului Național de Standardizare</w:t>
      </w:r>
    </w:p>
    <w:p w14:paraId="6365AD04" w14:textId="3026FCA6" w:rsidR="004573D2" w:rsidRPr="008B596F" w:rsidRDefault="004000E8" w:rsidP="0063018F">
      <w:pPr>
        <w:spacing w:after="120"/>
        <w:rPr>
          <w:rFonts w:asciiTheme="minorHAnsi" w:eastAsia="Malgun Gothic" w:hAnsiTheme="minorHAnsi" w:cstheme="minorHAnsi"/>
          <w:bCs/>
          <w:sz w:val="24"/>
          <w:szCs w:val="24"/>
        </w:rPr>
      </w:pPr>
      <w:r w:rsidRPr="008B596F">
        <w:rPr>
          <w:rFonts w:asciiTheme="minorHAnsi" w:eastAsia="Malgun Gothic" w:hAnsiTheme="minorHAnsi" w:cstheme="minorHAnsi"/>
          <w:bCs/>
          <w:sz w:val="24"/>
          <w:szCs w:val="24"/>
        </w:rPr>
        <w:t>1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</w:rPr>
        <w:t>2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</w:rPr>
        <w:t>.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</w:rPr>
        <w:t>00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</w:rPr>
        <w:t xml:space="preserve"> – 1</w:t>
      </w:r>
      <w:r w:rsidR="004F2A44" w:rsidRPr="008B596F">
        <w:rPr>
          <w:rFonts w:asciiTheme="minorHAnsi" w:eastAsia="Malgun Gothic" w:hAnsiTheme="minorHAnsi" w:cstheme="minorHAnsi"/>
          <w:bCs/>
          <w:sz w:val="24"/>
          <w:szCs w:val="24"/>
        </w:rPr>
        <w:t>2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</w:rPr>
        <w:t>.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</w:rPr>
        <w:t>3</w:t>
      </w:r>
      <w:r w:rsidR="004F2A44" w:rsidRPr="008B596F">
        <w:rPr>
          <w:rFonts w:asciiTheme="minorHAnsi" w:eastAsia="Malgun Gothic" w:hAnsiTheme="minorHAnsi" w:cstheme="minorHAnsi"/>
          <w:bCs/>
          <w:sz w:val="24"/>
          <w:szCs w:val="24"/>
        </w:rPr>
        <w:t>0</w:t>
      </w:r>
      <w:r w:rsidR="0053746F" w:rsidRPr="008B596F">
        <w:rPr>
          <w:rFonts w:asciiTheme="minorHAnsi" w:eastAsia="Malgun Gothic" w:hAnsiTheme="minorHAnsi" w:cstheme="minorHAnsi"/>
          <w:bCs/>
          <w:sz w:val="24"/>
          <w:szCs w:val="24"/>
        </w:rPr>
        <w:t xml:space="preserve"> </w:t>
      </w:r>
      <w:r w:rsidR="0053746F" w:rsidRPr="008B596F">
        <w:rPr>
          <w:rFonts w:asciiTheme="minorHAnsi" w:eastAsia="Malgun Gothic" w:hAnsiTheme="minorHAnsi" w:cstheme="minorHAnsi"/>
          <w:bCs/>
          <w:sz w:val="24"/>
          <w:szCs w:val="24"/>
        </w:rPr>
        <w:tab/>
        <w:t xml:space="preserve">      </w:t>
      </w:r>
      <w:r w:rsidR="008B596F">
        <w:rPr>
          <w:rFonts w:asciiTheme="minorHAnsi" w:eastAsia="Malgun Gothic" w:hAnsiTheme="minorHAnsi" w:cstheme="minorHAnsi"/>
          <w:bCs/>
          <w:sz w:val="24"/>
          <w:szCs w:val="24"/>
        </w:rPr>
        <w:tab/>
        <w:t xml:space="preserve">      </w:t>
      </w:r>
      <w:proofErr w:type="spellStart"/>
      <w:r w:rsidR="0053746F" w:rsidRPr="008B596F">
        <w:rPr>
          <w:rFonts w:asciiTheme="minorHAnsi" w:eastAsia="Malgun Gothic" w:hAnsiTheme="minorHAnsi" w:cstheme="minorHAnsi"/>
          <w:b/>
          <w:bCs/>
          <w:sz w:val="24"/>
          <w:szCs w:val="24"/>
        </w:rPr>
        <w:t>Sesiune</w:t>
      </w:r>
      <w:proofErr w:type="spellEnd"/>
      <w:r w:rsidR="0053746F" w:rsidRPr="008B596F">
        <w:rPr>
          <w:rFonts w:asciiTheme="minorHAnsi" w:eastAsia="Malgun Gothic" w:hAnsiTheme="minorHAnsi" w:cstheme="minorHAnsi"/>
          <w:b/>
          <w:bCs/>
          <w:sz w:val="24"/>
          <w:szCs w:val="24"/>
        </w:rPr>
        <w:t xml:space="preserve"> de</w:t>
      </w:r>
      <w:r w:rsidR="00A21E11" w:rsidRPr="008B596F">
        <w:rPr>
          <w:rFonts w:asciiTheme="minorHAnsi" w:eastAsia="Malgun Gothic" w:hAnsiTheme="minorHAnsi" w:cstheme="minorHAnsi"/>
          <w:b/>
          <w:bCs/>
          <w:sz w:val="24"/>
          <w:szCs w:val="24"/>
        </w:rPr>
        <w:t xml:space="preserve"> </w:t>
      </w:r>
      <w:r w:rsidR="00A21E11" w:rsidRPr="008B596F">
        <w:rPr>
          <w:rFonts w:asciiTheme="minorHAnsi" w:eastAsia="Malgun Gothic" w:hAnsiTheme="minorHAnsi" w:cstheme="minorHAnsi"/>
          <w:b/>
          <w:bCs/>
          <w:sz w:val="24"/>
          <w:szCs w:val="24"/>
          <w:lang w:val="ro-MD"/>
        </w:rPr>
        <w:t>întrebări și răspunsuri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</w:rPr>
        <w:t xml:space="preserve"> </w:t>
      </w:r>
    </w:p>
    <w:p w14:paraId="1D76EFEC" w14:textId="423CA933" w:rsidR="0063018F" w:rsidRPr="008B596F" w:rsidRDefault="0063018F" w:rsidP="0063018F">
      <w:pPr>
        <w:spacing w:after="120"/>
        <w:rPr>
          <w:rFonts w:ascii="Calibri" w:hAnsi="Calibri" w:cs="Calibri"/>
          <w:sz w:val="24"/>
          <w:szCs w:val="24"/>
        </w:rPr>
      </w:pP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>1</w:t>
      </w:r>
      <w:r w:rsidR="004F2A44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2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>.</w:t>
      </w:r>
      <w:r w:rsidR="00A21E11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3</w:t>
      </w:r>
      <w:r w:rsidR="004F2A44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>0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 xml:space="preserve"> 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 xml:space="preserve">  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ab/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ab/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ab/>
      </w:r>
      <w:r w:rsidR="0053746F" w:rsidRP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 xml:space="preserve">      </w:t>
      </w:r>
      <w:r w:rsidR="008B596F">
        <w:rPr>
          <w:rFonts w:asciiTheme="minorHAnsi" w:eastAsia="Malgun Gothic" w:hAnsiTheme="minorHAnsi" w:cstheme="minorHAnsi"/>
          <w:bCs/>
          <w:sz w:val="24"/>
          <w:szCs w:val="24"/>
          <w:lang w:val="en-US"/>
        </w:rPr>
        <w:tab/>
        <w:t xml:space="preserve">      </w:t>
      </w:r>
      <w:r w:rsidRPr="008B596F">
        <w:rPr>
          <w:rFonts w:asciiTheme="minorHAnsi" w:eastAsia="Malgun Gothic" w:hAnsiTheme="minorHAnsi" w:cstheme="minorHAnsi"/>
          <w:bCs/>
          <w:sz w:val="24"/>
          <w:szCs w:val="24"/>
          <w:lang w:val="ro-MD"/>
        </w:rPr>
        <w:t>Prânz</w:t>
      </w:r>
    </w:p>
    <w:sectPr w:rsidR="0063018F" w:rsidRPr="008B596F" w:rsidSect="00F72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142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0BB6" w14:textId="77777777" w:rsidR="00BE7EFB" w:rsidRDefault="00BE7EFB" w:rsidP="00EF6308">
      <w:r>
        <w:separator/>
      </w:r>
    </w:p>
  </w:endnote>
  <w:endnote w:type="continuationSeparator" w:id="0">
    <w:p w14:paraId="1B399B78" w14:textId="77777777" w:rsidR="00BE7EFB" w:rsidRDefault="00BE7EFB" w:rsidP="00EF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8288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E57A3C1" w14:textId="5B567EBD" w:rsidR="007D3100" w:rsidRPr="007D3100" w:rsidRDefault="00F62554">
        <w:pPr>
          <w:pStyle w:val="Subsol"/>
          <w:jc w:val="right"/>
          <w:rPr>
            <w:sz w:val="18"/>
            <w:szCs w:val="18"/>
          </w:rPr>
        </w:pPr>
        <w:r>
          <w:rPr>
            <w:rFonts w:ascii="Calibri" w:hAnsi="Calibri" w:cs="Calibri"/>
            <w:b/>
            <w:bCs/>
            <w:noProof/>
            <w:lang w:val="ru-RU" w:eastAsia="ru-RU"/>
          </w:rPr>
          <w:drawing>
            <wp:anchor distT="0" distB="0" distL="114300" distR="114300" simplePos="0" relativeHeight="251663360" behindDoc="1" locked="0" layoutInCell="1" allowOverlap="1" wp14:anchorId="4F768142" wp14:editId="18B35BDC">
              <wp:simplePos x="0" y="0"/>
              <wp:positionH relativeFrom="page">
                <wp:posOffset>-8255</wp:posOffset>
              </wp:positionH>
              <wp:positionV relativeFrom="paragraph">
                <wp:posOffset>-304800</wp:posOffset>
              </wp:positionV>
              <wp:extent cx="7560310" cy="843358"/>
              <wp:effectExtent l="0" t="0" r="254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CFTA - Letterhead-mapa 10-1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8433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3100" w:rsidRPr="007D3100">
          <w:rPr>
            <w:sz w:val="18"/>
            <w:szCs w:val="18"/>
          </w:rPr>
          <w:fldChar w:fldCharType="begin"/>
        </w:r>
        <w:r w:rsidR="007D3100" w:rsidRPr="007D3100">
          <w:rPr>
            <w:sz w:val="18"/>
            <w:szCs w:val="18"/>
          </w:rPr>
          <w:instrText xml:space="preserve"> PAGE   \* MERGEFORMAT </w:instrText>
        </w:r>
        <w:r w:rsidR="007D3100" w:rsidRPr="007D3100">
          <w:rPr>
            <w:sz w:val="18"/>
            <w:szCs w:val="18"/>
          </w:rPr>
          <w:fldChar w:fldCharType="separate"/>
        </w:r>
        <w:r w:rsidR="00AD7012">
          <w:rPr>
            <w:noProof/>
            <w:sz w:val="18"/>
            <w:szCs w:val="18"/>
          </w:rPr>
          <w:t>2</w:t>
        </w:r>
        <w:r w:rsidR="007D3100" w:rsidRPr="007D3100">
          <w:rPr>
            <w:noProof/>
            <w:sz w:val="18"/>
            <w:szCs w:val="18"/>
          </w:rPr>
          <w:fldChar w:fldCharType="end"/>
        </w:r>
      </w:p>
    </w:sdtContent>
  </w:sdt>
  <w:p w14:paraId="0F868366" w14:textId="77777777" w:rsidR="006D12FF" w:rsidRDefault="006D12F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D845" w14:textId="7F038195" w:rsidR="00B81D83" w:rsidRPr="00BF40CA" w:rsidRDefault="00BF40CA" w:rsidP="00BF40CA">
    <w:pPr>
      <w:pStyle w:val="Subsol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4100F1D" wp14:editId="7C9C7FAC">
          <wp:simplePos x="0" y="0"/>
          <wp:positionH relativeFrom="page">
            <wp:posOffset>-15240</wp:posOffset>
          </wp:positionH>
          <wp:positionV relativeFrom="paragraph">
            <wp:posOffset>-635</wp:posOffset>
          </wp:positionV>
          <wp:extent cx="7560310" cy="84335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FTA - Letterhead-mapa 10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B439" w14:textId="14D65EE7" w:rsidR="00B81D83" w:rsidRDefault="00B81D83" w:rsidP="00B81D83">
    <w:pPr>
      <w:pStyle w:val="Subsol"/>
      <w:jc w:val="center"/>
    </w:pPr>
  </w:p>
  <w:p w14:paraId="3D70AA93" w14:textId="31841EA6" w:rsidR="00B81D83" w:rsidRDefault="00B81D8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FF89" w14:textId="77777777" w:rsidR="00BE7EFB" w:rsidRDefault="00BE7EFB" w:rsidP="00EF6308">
      <w:r>
        <w:separator/>
      </w:r>
    </w:p>
  </w:footnote>
  <w:footnote w:type="continuationSeparator" w:id="0">
    <w:p w14:paraId="09E6BF2E" w14:textId="77777777" w:rsidR="00BE7EFB" w:rsidRDefault="00BE7EFB" w:rsidP="00EF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9C35" w14:textId="54710347" w:rsidR="00F62554" w:rsidRDefault="00F62554">
    <w:pPr>
      <w:pStyle w:val="Antet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0E9796F5" wp14:editId="0FADD8B5">
          <wp:simplePos x="0" y="0"/>
          <wp:positionH relativeFrom="column">
            <wp:posOffset>-548640</wp:posOffset>
          </wp:positionH>
          <wp:positionV relativeFrom="paragraph">
            <wp:posOffset>-83820</wp:posOffset>
          </wp:positionV>
          <wp:extent cx="7674610" cy="2152650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TA - Letterhead-mapa 10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B43B" w14:textId="3AB0A28E" w:rsidR="00B81D83" w:rsidRPr="00BF40CA" w:rsidRDefault="00BF40CA" w:rsidP="00BF40CA">
    <w:pPr>
      <w:pStyle w:val="Ante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3EFB42D5" wp14:editId="52639A4B">
          <wp:simplePos x="0" y="0"/>
          <wp:positionH relativeFrom="column">
            <wp:posOffset>-597535</wp:posOffset>
          </wp:positionH>
          <wp:positionV relativeFrom="paragraph">
            <wp:posOffset>-90170</wp:posOffset>
          </wp:positionV>
          <wp:extent cx="7674610" cy="2152650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TA - Letterhead-mapa 10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5D"/>
    <w:multiLevelType w:val="hybridMultilevel"/>
    <w:tmpl w:val="7BF62F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84885"/>
    <w:multiLevelType w:val="hybridMultilevel"/>
    <w:tmpl w:val="9E0EF4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15E11"/>
    <w:multiLevelType w:val="hybridMultilevel"/>
    <w:tmpl w:val="FBEAE1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306D8"/>
    <w:multiLevelType w:val="hybridMultilevel"/>
    <w:tmpl w:val="D0D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0AC"/>
    <w:multiLevelType w:val="hybridMultilevel"/>
    <w:tmpl w:val="6C9E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5D4B"/>
    <w:multiLevelType w:val="hybridMultilevel"/>
    <w:tmpl w:val="45042654"/>
    <w:lvl w:ilvl="0" w:tplc="A6BAD67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1E2256"/>
    <w:multiLevelType w:val="hybridMultilevel"/>
    <w:tmpl w:val="316AF674"/>
    <w:lvl w:ilvl="0" w:tplc="FE4AF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616D"/>
    <w:multiLevelType w:val="hybridMultilevel"/>
    <w:tmpl w:val="4D4CC9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E2A81"/>
    <w:multiLevelType w:val="hybridMultilevel"/>
    <w:tmpl w:val="C14281C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6B0E9A"/>
    <w:multiLevelType w:val="hybridMultilevel"/>
    <w:tmpl w:val="D01C7CB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D088B"/>
    <w:multiLevelType w:val="hybridMultilevel"/>
    <w:tmpl w:val="CE1CB2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EC53B1"/>
    <w:multiLevelType w:val="hybridMultilevel"/>
    <w:tmpl w:val="045E0D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9106A5"/>
    <w:multiLevelType w:val="hybridMultilevel"/>
    <w:tmpl w:val="4CB645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1FB"/>
    <w:multiLevelType w:val="hybridMultilevel"/>
    <w:tmpl w:val="E90AAC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38"/>
    <w:rsid w:val="00016B7F"/>
    <w:rsid w:val="00033AD4"/>
    <w:rsid w:val="000605C8"/>
    <w:rsid w:val="0007408C"/>
    <w:rsid w:val="00077228"/>
    <w:rsid w:val="000D6F49"/>
    <w:rsid w:val="000F03CE"/>
    <w:rsid w:val="001276A9"/>
    <w:rsid w:val="001319D7"/>
    <w:rsid w:val="00166910"/>
    <w:rsid w:val="001948D6"/>
    <w:rsid w:val="001B3192"/>
    <w:rsid w:val="002058E6"/>
    <w:rsid w:val="002069DE"/>
    <w:rsid w:val="002248D7"/>
    <w:rsid w:val="002279CD"/>
    <w:rsid w:val="002419B6"/>
    <w:rsid w:val="0026042E"/>
    <w:rsid w:val="002A624A"/>
    <w:rsid w:val="002C6416"/>
    <w:rsid w:val="002D640F"/>
    <w:rsid w:val="002D76E0"/>
    <w:rsid w:val="002E70BC"/>
    <w:rsid w:val="00304F4A"/>
    <w:rsid w:val="00321FF4"/>
    <w:rsid w:val="0032251E"/>
    <w:rsid w:val="00334EEB"/>
    <w:rsid w:val="0036099E"/>
    <w:rsid w:val="003719FD"/>
    <w:rsid w:val="004000E8"/>
    <w:rsid w:val="00411E24"/>
    <w:rsid w:val="00412918"/>
    <w:rsid w:val="00417D07"/>
    <w:rsid w:val="004400F1"/>
    <w:rsid w:val="00456CB3"/>
    <w:rsid w:val="004573D2"/>
    <w:rsid w:val="004769CA"/>
    <w:rsid w:val="00492F06"/>
    <w:rsid w:val="004C7361"/>
    <w:rsid w:val="004E3DD2"/>
    <w:rsid w:val="004E5083"/>
    <w:rsid w:val="004E619F"/>
    <w:rsid w:val="004F2A44"/>
    <w:rsid w:val="00532D63"/>
    <w:rsid w:val="0053746F"/>
    <w:rsid w:val="00560842"/>
    <w:rsid w:val="005A6770"/>
    <w:rsid w:val="005B3A40"/>
    <w:rsid w:val="005C1283"/>
    <w:rsid w:val="005D3461"/>
    <w:rsid w:val="005F6C4E"/>
    <w:rsid w:val="00616724"/>
    <w:rsid w:val="00625D61"/>
    <w:rsid w:val="0063018F"/>
    <w:rsid w:val="0069780E"/>
    <w:rsid w:val="006D12FF"/>
    <w:rsid w:val="006E5D9F"/>
    <w:rsid w:val="007958F1"/>
    <w:rsid w:val="0079723E"/>
    <w:rsid w:val="007B2F6D"/>
    <w:rsid w:val="007B60CB"/>
    <w:rsid w:val="007C2738"/>
    <w:rsid w:val="007D3100"/>
    <w:rsid w:val="007E5772"/>
    <w:rsid w:val="0083063A"/>
    <w:rsid w:val="00840C43"/>
    <w:rsid w:val="00871459"/>
    <w:rsid w:val="008B596F"/>
    <w:rsid w:val="008C1FAF"/>
    <w:rsid w:val="008C2D37"/>
    <w:rsid w:val="008C338F"/>
    <w:rsid w:val="008F6425"/>
    <w:rsid w:val="0090147E"/>
    <w:rsid w:val="00955D1E"/>
    <w:rsid w:val="0099752E"/>
    <w:rsid w:val="009B5D3C"/>
    <w:rsid w:val="009D207F"/>
    <w:rsid w:val="009D4D16"/>
    <w:rsid w:val="00A061DE"/>
    <w:rsid w:val="00A15CC3"/>
    <w:rsid w:val="00A20A6D"/>
    <w:rsid w:val="00A21E11"/>
    <w:rsid w:val="00A417C1"/>
    <w:rsid w:val="00A6725C"/>
    <w:rsid w:val="00A91B67"/>
    <w:rsid w:val="00AD7012"/>
    <w:rsid w:val="00AF60FF"/>
    <w:rsid w:val="00B5659F"/>
    <w:rsid w:val="00B81D83"/>
    <w:rsid w:val="00BA6158"/>
    <w:rsid w:val="00BD2E6A"/>
    <w:rsid w:val="00BE7EFB"/>
    <w:rsid w:val="00BF40CA"/>
    <w:rsid w:val="00C43EA0"/>
    <w:rsid w:val="00CE0F50"/>
    <w:rsid w:val="00CF080C"/>
    <w:rsid w:val="00D2497A"/>
    <w:rsid w:val="00D341A5"/>
    <w:rsid w:val="00D52748"/>
    <w:rsid w:val="00DA07F4"/>
    <w:rsid w:val="00DB317F"/>
    <w:rsid w:val="00DC388F"/>
    <w:rsid w:val="00DC685F"/>
    <w:rsid w:val="00DE7640"/>
    <w:rsid w:val="00E03113"/>
    <w:rsid w:val="00E33D84"/>
    <w:rsid w:val="00E368B7"/>
    <w:rsid w:val="00E63D44"/>
    <w:rsid w:val="00E863B3"/>
    <w:rsid w:val="00EA5A6A"/>
    <w:rsid w:val="00EF6308"/>
    <w:rsid w:val="00F15231"/>
    <w:rsid w:val="00F2724B"/>
    <w:rsid w:val="00F62554"/>
    <w:rsid w:val="00F72314"/>
    <w:rsid w:val="00FA077D"/>
    <w:rsid w:val="00FA108D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55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ullet Points,Liste Paragraf,Liststycke SKL,Bullet list,Table of contents numbered,Normal bullet 2,List Paragraph1,içindekiler vb,Sombreado multicolor - Énfasis 31,Elenco Bullet point,Liste Paragraf1,Paragrafo elenco,Bullet OFM,PROVERE 1"/>
    <w:basedOn w:val="Normal"/>
    <w:link w:val="ListparagrafCaracter"/>
    <w:uiPriority w:val="34"/>
    <w:qFormat/>
    <w:rsid w:val="00E63D4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EF630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rsid w:val="00EF6308"/>
  </w:style>
  <w:style w:type="paragraph" w:styleId="Subsol">
    <w:name w:val="footer"/>
    <w:basedOn w:val="Normal"/>
    <w:link w:val="SubsolCaracter"/>
    <w:uiPriority w:val="99"/>
    <w:unhideWhenUsed/>
    <w:rsid w:val="00EF6308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6308"/>
  </w:style>
  <w:style w:type="character" w:styleId="Numrdepagin">
    <w:name w:val="page number"/>
    <w:basedOn w:val="Fontdeparagrafimplicit"/>
    <w:rsid w:val="00EF6308"/>
  </w:style>
  <w:style w:type="character" w:styleId="Referincomentariu">
    <w:name w:val="annotation reference"/>
    <w:basedOn w:val="Fontdeparagrafimplicit"/>
    <w:uiPriority w:val="99"/>
    <w:semiHidden/>
    <w:unhideWhenUsed/>
    <w:rsid w:val="00AF60F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F60FF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F60F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F60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F60F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60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60FF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4EEB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4EE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4EEB"/>
    <w:rPr>
      <w:vertAlign w:val="superscript"/>
    </w:rPr>
  </w:style>
  <w:style w:type="character" w:customStyle="1" w:styleId="ListparagrafCaracter">
    <w:name w:val="Listă paragraf Caracter"/>
    <w:aliases w:val="Bullet Points Caracter,Liste Paragraf Caracter,Liststycke SKL Caracter,Bullet list Caracter,Table of contents numbered Caracter,Normal bullet 2 Caracter,List Paragraph1 Caracter,içindekiler vb Caracter,Liste Paragraf1 Caracter"/>
    <w:link w:val="Listparagraf"/>
    <w:uiPriority w:val="34"/>
    <w:locked/>
    <w:rsid w:val="00F62554"/>
  </w:style>
  <w:style w:type="paragraph" w:customStyle="1" w:styleId="gmail-msolistparagraph">
    <w:name w:val="gmail-msolistparagraph"/>
    <w:basedOn w:val="Normal"/>
    <w:rsid w:val="004000E8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55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ullet Points,Liste Paragraf,Liststycke SKL,Bullet list,Table of contents numbered,Normal bullet 2,List Paragraph1,içindekiler vb,Sombreado multicolor - Énfasis 31,Elenco Bullet point,Liste Paragraf1,Paragrafo elenco,Bullet OFM,PROVERE 1"/>
    <w:basedOn w:val="Normal"/>
    <w:link w:val="ListparagrafCaracter"/>
    <w:uiPriority w:val="34"/>
    <w:qFormat/>
    <w:rsid w:val="00E63D4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EF630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rsid w:val="00EF6308"/>
  </w:style>
  <w:style w:type="paragraph" w:styleId="Subsol">
    <w:name w:val="footer"/>
    <w:basedOn w:val="Normal"/>
    <w:link w:val="SubsolCaracter"/>
    <w:uiPriority w:val="99"/>
    <w:unhideWhenUsed/>
    <w:rsid w:val="00EF6308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6308"/>
  </w:style>
  <w:style w:type="character" w:styleId="Numrdepagin">
    <w:name w:val="page number"/>
    <w:basedOn w:val="Fontdeparagrafimplicit"/>
    <w:rsid w:val="00EF6308"/>
  </w:style>
  <w:style w:type="character" w:styleId="Referincomentariu">
    <w:name w:val="annotation reference"/>
    <w:basedOn w:val="Fontdeparagrafimplicit"/>
    <w:uiPriority w:val="99"/>
    <w:semiHidden/>
    <w:unhideWhenUsed/>
    <w:rsid w:val="00AF60F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F60FF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F60F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F60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F60F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60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60FF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4EEB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4EE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4EEB"/>
    <w:rPr>
      <w:vertAlign w:val="superscript"/>
    </w:rPr>
  </w:style>
  <w:style w:type="character" w:customStyle="1" w:styleId="ListparagrafCaracter">
    <w:name w:val="Listă paragraf Caracter"/>
    <w:aliases w:val="Bullet Points Caracter,Liste Paragraf Caracter,Liststycke SKL Caracter,Bullet list Caracter,Table of contents numbered Caracter,Normal bullet 2 Caracter,List Paragraph1 Caracter,içindekiler vb Caracter,Liste Paragraf1 Caracter"/>
    <w:link w:val="Listparagraf"/>
    <w:uiPriority w:val="34"/>
    <w:locked/>
    <w:rsid w:val="00F62554"/>
  </w:style>
  <w:style w:type="paragraph" w:customStyle="1" w:styleId="gmail-msolistparagraph">
    <w:name w:val="gmail-msolistparagraph"/>
    <w:basedOn w:val="Normal"/>
    <w:rsid w:val="004000E8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0411-8A24-429C-B3FE-AA51C77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Inesa Iordatii</cp:lastModifiedBy>
  <cp:revision>2</cp:revision>
  <cp:lastPrinted>2019-04-17T07:50:00Z</cp:lastPrinted>
  <dcterms:created xsi:type="dcterms:W3CDTF">2019-04-17T09:58:00Z</dcterms:created>
  <dcterms:modified xsi:type="dcterms:W3CDTF">2019-04-17T09:58:00Z</dcterms:modified>
</cp:coreProperties>
</file>